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5223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Times New Roman" w:hAnsi="Century Gothic" w:cs="Arial"/>
          <w:b/>
          <w:sz w:val="24"/>
          <w:szCs w:val="24"/>
          <w:lang w:eastAsia="de-DE"/>
        </w:rPr>
      </w:pPr>
      <w:r w:rsidRPr="00884388">
        <w:rPr>
          <w:rFonts w:ascii="Century Gothic" w:eastAsia="Times New Roman" w:hAnsi="Century Gothic" w:cs="Arial"/>
          <w:b/>
          <w:sz w:val="24"/>
          <w:szCs w:val="24"/>
          <w:lang w:eastAsia="de-DE"/>
        </w:rPr>
        <w:t>Abschlussdaten:</w:t>
      </w:r>
    </w:p>
    <w:p w14:paraId="7095D2AB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Times New Roman" w:hAnsi="Century Gothic" w:cs="Arial"/>
          <w:b/>
          <w:lang w:eastAsia="de-DE"/>
        </w:rPr>
      </w:pPr>
      <w:r w:rsidRPr="00884388">
        <w:rPr>
          <w:rFonts w:ascii="Century Gothic" w:eastAsia="Times New Roman" w:hAnsi="Century Gothic" w:cs="Arial"/>
          <w:b/>
          <w:lang w:eastAsia="de-DE"/>
        </w:rPr>
        <w:t>Datum des Betreuungsendes:</w:t>
      </w:r>
    </w:p>
    <w:p w14:paraId="3EBFCEAD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Times New Roman" w:hAnsi="Century Gothic" w:cs="Arial"/>
          <w:b/>
          <w:lang w:eastAsia="de-DE"/>
        </w:rPr>
      </w:pPr>
      <w:r w:rsidRPr="00884388">
        <w:rPr>
          <w:rFonts w:ascii="Century Gothic" w:eastAsia="Times New Roman" w:hAnsi="Century Gothic" w:cs="Arial"/>
          <w:b/>
          <w:lang w:eastAsia="de-DE"/>
        </w:rPr>
        <w:t>Kontaktzahl:</w:t>
      </w:r>
    </w:p>
    <w:p w14:paraId="5F6893B2" w14:textId="77777777" w:rsidR="00884388" w:rsidRPr="00884388" w:rsidRDefault="00884388" w:rsidP="00884388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884388">
        <w:rPr>
          <w:rFonts w:ascii="Century Gothic" w:eastAsia="Times New Roman" w:hAnsi="Century Gothic" w:cs="Arial"/>
          <w:b/>
          <w:lang w:eastAsia="de-DE"/>
        </w:rPr>
        <w:t>Art der Beendigung:</w:t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 xml:space="preserve">Regulär </w:t>
      </w:r>
      <w:sdt>
        <w:sdtPr>
          <w:rPr>
            <w:rFonts w:ascii="Century Gothic" w:eastAsia="MS Gothic" w:hAnsi="Century Gothic" w:cs="Arial"/>
            <w:lang w:eastAsia="de-DE"/>
          </w:rPr>
          <w:id w:val="6462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proofErr w:type="gramStart"/>
      <w:r w:rsidRPr="00884388">
        <w:rPr>
          <w:rFonts w:ascii="Century Gothic" w:eastAsia="MS Gothic" w:hAnsi="Century Gothic" w:cs="Arial"/>
          <w:lang w:eastAsia="de-DE"/>
        </w:rPr>
        <w:t>Vorzeitig</w:t>
      </w:r>
      <w:proofErr w:type="gramEnd"/>
      <w:r w:rsidRPr="00884388">
        <w:rPr>
          <w:rFonts w:ascii="Century Gothic" w:eastAsia="MS Gothic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-17437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 xml:space="preserve"> Grund:</w:t>
      </w:r>
    </w:p>
    <w:p w14:paraId="49F6ED21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MS Gothic" w:hAnsi="Century Gothic" w:cs="Arial"/>
          <w:lang w:eastAsia="de-DE"/>
        </w:rPr>
      </w:pPr>
      <w:r w:rsidRPr="00884388">
        <w:rPr>
          <w:rFonts w:ascii="Century Gothic" w:eastAsia="Times New Roman" w:hAnsi="Century Gothic" w:cs="Arial"/>
          <w:b/>
          <w:lang w:eastAsia="de-DE"/>
        </w:rPr>
        <w:t>Wurde im Laufe der Betreuung Kontakt zu einer Selbsthilfegruppe hergestellt?</w:t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26928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Nein </w:t>
      </w:r>
      <w:sdt>
        <w:sdtPr>
          <w:rPr>
            <w:rFonts w:ascii="Century Gothic" w:eastAsia="MS Gothic" w:hAnsi="Century Gothic" w:cs="Arial"/>
            <w:lang w:eastAsia="de-DE"/>
          </w:rPr>
          <w:id w:val="-685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20F3E02F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MS Gothic" w:hAnsi="Century Gothic" w:cs="Arial"/>
          <w:lang w:eastAsia="de-DE"/>
        </w:rPr>
      </w:pPr>
      <w:r w:rsidRPr="00884388">
        <w:rPr>
          <w:rFonts w:ascii="Century Gothic" w:eastAsia="MS Gothic" w:hAnsi="Century Gothic" w:cs="Arial"/>
          <w:b/>
          <w:lang w:eastAsia="de-DE"/>
        </w:rPr>
        <w:t>Fand im Betreuungszeitraum eine Weitervermittlung statt?</w:t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 xml:space="preserve">Ja </w:t>
      </w:r>
      <w:sdt>
        <w:sdtPr>
          <w:rPr>
            <w:rFonts w:ascii="Century Gothic" w:eastAsia="MS Gothic" w:hAnsi="Century Gothic" w:cs="Arial"/>
            <w:lang w:eastAsia="de-DE"/>
          </w:rPr>
          <w:id w:val="15048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Nein </w:t>
      </w:r>
      <w:sdt>
        <w:sdtPr>
          <w:rPr>
            <w:rFonts w:ascii="Century Gothic" w:eastAsia="MS Gothic" w:hAnsi="Century Gothic" w:cs="Arial"/>
            <w:lang w:eastAsia="de-DE"/>
          </w:rPr>
          <w:id w:val="-91562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46EC32B5" w14:textId="77777777" w:rsidR="00884388" w:rsidRPr="00884388" w:rsidRDefault="00884388" w:rsidP="00884388">
      <w:pPr>
        <w:spacing w:before="100" w:beforeAutospacing="1" w:after="100" w:afterAutospacing="1" w:line="360" w:lineRule="auto"/>
        <w:jc w:val="both"/>
        <w:rPr>
          <w:rFonts w:ascii="Century Gothic" w:eastAsia="MS Gothic" w:hAnsi="Century Gothic" w:cs="Arial"/>
          <w:lang w:eastAsia="de-DE"/>
        </w:rPr>
      </w:pPr>
      <w:r w:rsidRPr="00884388">
        <w:rPr>
          <w:rFonts w:ascii="Century Gothic" w:eastAsia="MS Gothic" w:hAnsi="Century Gothic" w:cs="Arial"/>
          <w:lang w:eastAsia="de-DE"/>
        </w:rPr>
        <w:tab/>
        <w:t xml:space="preserve">Entgiftung </w:t>
      </w:r>
      <w:sdt>
        <w:sdtPr>
          <w:rPr>
            <w:rFonts w:ascii="Century Gothic" w:eastAsia="MS Gothic" w:hAnsi="Century Gothic" w:cs="Arial"/>
            <w:lang w:eastAsia="de-DE"/>
          </w:rPr>
          <w:id w:val="-171989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Qualifizierter Entzug  </w:t>
      </w:r>
      <w:sdt>
        <w:sdtPr>
          <w:rPr>
            <w:rFonts w:ascii="Century Gothic" w:eastAsia="MS Gothic" w:hAnsi="Century Gothic" w:cs="Arial"/>
            <w:lang w:eastAsia="de-DE"/>
          </w:rPr>
          <w:id w:val="-91099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Stationäre somatische Behandlung </w:t>
      </w:r>
      <w:sdt>
        <w:sdtPr>
          <w:rPr>
            <w:rFonts w:ascii="Century Gothic" w:eastAsia="MS Gothic" w:hAnsi="Century Gothic" w:cs="Arial"/>
            <w:lang w:eastAsia="de-DE"/>
          </w:rPr>
          <w:id w:val="-78612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Ambulante medizinische Anbindung </w:t>
      </w:r>
      <w:sdt>
        <w:sdtPr>
          <w:rPr>
            <w:rFonts w:ascii="Century Gothic" w:eastAsia="MS Gothic" w:hAnsi="Century Gothic" w:cs="Arial"/>
            <w:lang w:eastAsia="de-DE"/>
          </w:rPr>
          <w:id w:val="-18660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Ambulante psychologische Anbindung </w:t>
      </w:r>
      <w:sdt>
        <w:sdtPr>
          <w:rPr>
            <w:rFonts w:ascii="Century Gothic" w:eastAsia="MS Gothic" w:hAnsi="Century Gothic" w:cs="Arial"/>
            <w:lang w:eastAsia="de-DE"/>
          </w:rPr>
          <w:id w:val="18895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Stationäre med. Rehabilitation </w:t>
      </w:r>
      <w:sdt>
        <w:sdtPr>
          <w:rPr>
            <w:rFonts w:ascii="Century Gothic" w:eastAsia="MS Gothic" w:hAnsi="Century Gothic" w:cs="Arial"/>
            <w:lang w:eastAsia="de-DE"/>
          </w:rPr>
          <w:id w:val="-164742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Ambulante med. Rehabilitation </w:t>
      </w:r>
      <w:sdt>
        <w:sdtPr>
          <w:rPr>
            <w:rFonts w:ascii="Century Gothic" w:eastAsia="MS Gothic" w:hAnsi="Century Gothic" w:cs="Arial"/>
            <w:lang w:eastAsia="de-DE"/>
          </w:rPr>
          <w:id w:val="-114357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(Reha-)Nachsorge </w:t>
      </w:r>
      <w:sdt>
        <w:sdtPr>
          <w:rPr>
            <w:rFonts w:ascii="Century Gothic" w:eastAsia="MS Gothic" w:hAnsi="Century Gothic" w:cs="Arial"/>
            <w:lang w:eastAsia="de-DE"/>
          </w:rPr>
          <w:id w:val="-125519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Adaption </w:t>
      </w:r>
      <w:sdt>
        <w:sdtPr>
          <w:rPr>
            <w:rFonts w:ascii="Century Gothic" w:eastAsia="MS Gothic" w:hAnsi="Century Gothic" w:cs="Arial"/>
            <w:lang w:eastAsia="de-DE"/>
          </w:rPr>
          <w:id w:val="18092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PSB (Psychosoziale Begleitung Substituierter) </w:t>
      </w:r>
      <w:sdt>
        <w:sdtPr>
          <w:rPr>
            <w:rFonts w:ascii="Century Gothic" w:eastAsia="MS Gothic" w:hAnsi="Century Gothic" w:cs="Arial"/>
            <w:lang w:eastAsia="de-DE"/>
          </w:rPr>
          <w:id w:val="24886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Sozialpsychiatrische Betreuung </w:t>
      </w:r>
      <w:sdt>
        <w:sdtPr>
          <w:rPr>
            <w:rFonts w:ascii="Century Gothic" w:eastAsia="MS Gothic" w:hAnsi="Century Gothic" w:cs="Arial"/>
            <w:lang w:eastAsia="de-DE"/>
          </w:rPr>
          <w:id w:val="-16534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Ambulant Betreutes Wohnen </w:t>
      </w:r>
      <w:sdt>
        <w:sdtPr>
          <w:rPr>
            <w:rFonts w:ascii="Century Gothic" w:eastAsia="MS Gothic" w:hAnsi="Century Gothic" w:cs="Arial"/>
            <w:lang w:eastAsia="de-DE"/>
          </w:rPr>
          <w:id w:val="129949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Stationäres Wohnen </w:t>
      </w:r>
      <w:sdt>
        <w:sdtPr>
          <w:rPr>
            <w:rFonts w:ascii="Century Gothic" w:eastAsia="MS Gothic" w:hAnsi="Century Gothic" w:cs="Arial"/>
            <w:lang w:eastAsia="de-DE"/>
          </w:rPr>
          <w:id w:val="80127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Übergangswohnen </w:t>
      </w:r>
      <w:sdt>
        <w:sdtPr>
          <w:rPr>
            <w:rFonts w:ascii="Century Gothic" w:eastAsia="MS Gothic" w:hAnsi="Century Gothic" w:cs="Arial"/>
            <w:lang w:eastAsia="de-DE"/>
          </w:rPr>
          <w:id w:val="72140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Tagesstrukturierende Maßnahmen </w:t>
      </w:r>
      <w:sdt>
        <w:sdtPr>
          <w:rPr>
            <w:rFonts w:ascii="Century Gothic" w:eastAsia="MS Gothic" w:hAnsi="Century Gothic" w:cs="Arial"/>
            <w:lang w:eastAsia="de-DE"/>
          </w:rPr>
          <w:id w:val="5960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Altenhilfe </w:t>
      </w:r>
      <w:sdt>
        <w:sdtPr>
          <w:rPr>
            <w:rFonts w:ascii="Century Gothic" w:eastAsia="MS Gothic" w:hAnsi="Century Gothic" w:cs="Arial"/>
            <w:lang w:eastAsia="de-DE"/>
          </w:rPr>
          <w:id w:val="10987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>Schuldnerberatung</w:t>
      </w:r>
      <w:r w:rsidRPr="00884388">
        <w:rPr>
          <w:rFonts w:ascii="Century Gothic" w:eastAsia="MS Gothic" w:hAnsi="Century Gothic" w:cs="Arial"/>
          <w:lang w:eastAsia="de-DE"/>
        </w:rPr>
        <w:tab/>
      </w:r>
      <w:sdt>
        <w:sdtPr>
          <w:rPr>
            <w:rFonts w:ascii="MS Gothic" w:eastAsia="MS Gothic" w:hAnsi="MS Gothic" w:cs="Arial" w:hint="eastAsia"/>
            <w:lang w:eastAsia="de-DE"/>
          </w:rPr>
          <w:id w:val="176040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Sonstiges </w:t>
      </w:r>
      <w:sdt>
        <w:sdtPr>
          <w:rPr>
            <w:rFonts w:ascii="MS Gothic" w:eastAsia="MS Gothic" w:hAnsi="MS Gothic" w:cs="Arial" w:hint="eastAsia"/>
            <w:lang w:eastAsia="de-DE"/>
          </w:rPr>
          <w:id w:val="182693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Pr="00884388">
        <w:rPr>
          <w:rFonts w:ascii="MS Gothic" w:eastAsia="MS Gothic" w:hAnsi="MS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>Art:</w:t>
      </w:r>
    </w:p>
    <w:p w14:paraId="6E62161A" w14:textId="77777777" w:rsidR="00884388" w:rsidRPr="00884388" w:rsidRDefault="00884388" w:rsidP="00884388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lang w:eastAsia="de-DE"/>
        </w:rPr>
      </w:pPr>
      <w:r w:rsidRPr="00884388">
        <w:rPr>
          <w:rFonts w:ascii="Century Gothic" w:eastAsia="Times New Roman" w:hAnsi="Century Gothic" w:cs="Arial"/>
          <w:b/>
          <w:lang w:eastAsia="de-DE"/>
        </w:rPr>
        <w:lastRenderedPageBreak/>
        <w:t>Suchtmittel bei Abschluss:</w:t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b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 xml:space="preserve">Alkohol </w:t>
      </w:r>
      <w:sdt>
        <w:sdtPr>
          <w:rPr>
            <w:rFonts w:ascii="Century Gothic" w:eastAsia="Times New Roman" w:hAnsi="Century Gothic" w:cs="Arial"/>
            <w:lang w:eastAsia="de-DE"/>
          </w:rPr>
          <w:id w:val="202543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Cannabis </w:t>
      </w:r>
      <w:sdt>
        <w:sdtPr>
          <w:rPr>
            <w:rFonts w:ascii="Century Gothic" w:eastAsia="Times New Roman" w:hAnsi="Century Gothic" w:cs="Arial"/>
            <w:lang w:eastAsia="de-DE"/>
          </w:rPr>
          <w:id w:val="-97475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Opioiden </w:t>
      </w:r>
      <w:sdt>
        <w:sdtPr>
          <w:rPr>
            <w:rFonts w:ascii="Century Gothic" w:eastAsia="Times New Roman" w:hAnsi="Century Gothic" w:cs="Arial"/>
            <w:lang w:eastAsia="de-DE"/>
          </w:rPr>
          <w:id w:val="71878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Kokain </w:t>
      </w:r>
      <w:sdt>
        <w:sdtPr>
          <w:rPr>
            <w:rFonts w:ascii="Century Gothic" w:eastAsia="Times New Roman" w:hAnsi="Century Gothic" w:cs="Arial"/>
            <w:lang w:eastAsia="de-DE"/>
          </w:rPr>
          <w:id w:val="15723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Amphetaminen / Stimulantien </w:t>
      </w:r>
      <w:sdt>
        <w:sdtPr>
          <w:rPr>
            <w:rFonts w:ascii="Century Gothic" w:eastAsia="Times New Roman" w:hAnsi="Century Gothic" w:cs="Arial"/>
            <w:lang w:eastAsia="de-DE"/>
          </w:rPr>
          <w:id w:val="-74549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Tabak </w:t>
      </w:r>
      <w:sdt>
        <w:sdtPr>
          <w:rPr>
            <w:rFonts w:ascii="Century Gothic" w:eastAsia="Times New Roman" w:hAnsi="Century Gothic" w:cs="Arial"/>
            <w:lang w:eastAsia="de-DE"/>
          </w:rPr>
          <w:id w:val="-180653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Glücksspiel </w:t>
      </w:r>
      <w:sdt>
        <w:sdtPr>
          <w:rPr>
            <w:rFonts w:ascii="Century Gothic" w:eastAsia="Times New Roman" w:hAnsi="Century Gothic" w:cs="Arial"/>
            <w:lang w:eastAsia="de-DE"/>
          </w:rPr>
          <w:id w:val="-190628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Mediennutzung </w:t>
      </w:r>
      <w:sdt>
        <w:sdtPr>
          <w:rPr>
            <w:rFonts w:ascii="Century Gothic" w:eastAsia="Times New Roman" w:hAnsi="Century Gothic" w:cs="Arial"/>
            <w:lang w:eastAsia="de-DE"/>
          </w:rPr>
          <w:id w:val="-76322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Essverhalten </w:t>
      </w:r>
      <w:sdt>
        <w:sdtPr>
          <w:rPr>
            <w:rFonts w:ascii="Century Gothic" w:eastAsia="Times New Roman" w:hAnsi="Century Gothic" w:cs="Arial"/>
            <w:lang w:eastAsia="de-DE"/>
          </w:rPr>
          <w:id w:val="10035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</w:t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</w:r>
      <w:r w:rsidRPr="00884388">
        <w:rPr>
          <w:rFonts w:ascii="Century Gothic" w:eastAsia="Times New Roman" w:hAnsi="Century Gothic" w:cs="Arial"/>
          <w:lang w:eastAsia="de-DE"/>
        </w:rPr>
        <w:tab/>
        <w:t xml:space="preserve">Sonstiges </w:t>
      </w:r>
      <w:sdt>
        <w:sdtPr>
          <w:rPr>
            <w:rFonts w:ascii="Century Gothic" w:eastAsia="Times New Roman" w:hAnsi="Century Gothic" w:cs="Arial"/>
            <w:lang w:eastAsia="de-DE"/>
          </w:rPr>
          <w:id w:val="63491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Times New Roman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Times New Roman" w:hAnsi="Century Gothic" w:cs="Arial"/>
          <w:lang w:eastAsia="de-DE"/>
        </w:rPr>
        <w:t xml:space="preserve">       Art:</w:t>
      </w:r>
    </w:p>
    <w:p w14:paraId="43F6E72B" w14:textId="77777777" w:rsidR="00884388" w:rsidRPr="00884388" w:rsidRDefault="00884388" w:rsidP="00884388">
      <w:pPr>
        <w:spacing w:before="100" w:beforeAutospacing="1" w:after="100" w:afterAutospacing="1" w:line="360" w:lineRule="auto"/>
        <w:jc w:val="both"/>
        <w:rPr>
          <w:rFonts w:ascii="Century Gothic" w:eastAsia="MS Gothic" w:hAnsi="Century Gothic" w:cs="Arial"/>
          <w:lang w:eastAsia="de-DE"/>
        </w:rPr>
      </w:pPr>
      <w:r w:rsidRPr="00884388">
        <w:rPr>
          <w:rFonts w:ascii="Century Gothic" w:eastAsia="MS Gothic" w:hAnsi="Century Gothic" w:cs="Arial"/>
          <w:b/>
          <w:lang w:eastAsia="de-DE"/>
        </w:rPr>
        <w:t>Konsumstatus bei Betreuungsende:</w:t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>Abstinent</w:t>
      </w:r>
      <w:sdt>
        <w:sdtPr>
          <w:rPr>
            <w:rFonts w:ascii="MS Gothic" w:eastAsia="MS Gothic" w:hAnsi="MS Gothic" w:cs="Arial" w:hint="eastAsia"/>
            <w:lang w:eastAsia="de-DE"/>
          </w:rPr>
          <w:id w:val="-77270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r w:rsidRPr="00884388">
        <w:rPr>
          <w:rFonts w:ascii="Century Gothic" w:eastAsia="MS Gothic" w:hAnsi="Century Gothic" w:cs="Arial"/>
          <w:b/>
          <w:lang w:eastAsia="de-DE"/>
        </w:rPr>
        <w:tab/>
      </w:r>
      <w:proofErr w:type="gramStart"/>
      <w:r w:rsidRPr="00884388">
        <w:rPr>
          <w:rFonts w:ascii="Century Gothic" w:eastAsia="MS Gothic" w:hAnsi="Century Gothic" w:cs="Arial"/>
          <w:lang w:eastAsia="de-DE"/>
        </w:rPr>
        <w:t>Gebessert</w:t>
      </w:r>
      <w:proofErr w:type="gramEnd"/>
      <w:r w:rsidRPr="00884388">
        <w:rPr>
          <w:rFonts w:ascii="Century Gothic" w:eastAsia="MS Gothic" w:hAnsi="Century Gothic" w:cs="Arial"/>
          <w:lang w:eastAsia="de-DE"/>
        </w:rPr>
        <w:t xml:space="preserve"> </w:t>
      </w:r>
      <w:sdt>
        <w:sdtPr>
          <w:rPr>
            <w:rFonts w:ascii="Century Gothic" w:eastAsia="MS Gothic" w:hAnsi="Century Gothic" w:cs="Arial"/>
            <w:lang w:eastAsia="de-DE"/>
          </w:rPr>
          <w:id w:val="69812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proofErr w:type="spellStart"/>
      <w:r w:rsidRPr="00884388">
        <w:rPr>
          <w:rFonts w:ascii="Century Gothic" w:eastAsia="MS Gothic" w:hAnsi="Century Gothic" w:cs="Arial"/>
          <w:lang w:eastAsia="de-DE"/>
        </w:rPr>
        <w:t>Gleich</w:t>
      </w:r>
      <w:proofErr w:type="spellEnd"/>
      <w:r w:rsidRPr="00884388">
        <w:rPr>
          <w:rFonts w:ascii="Century Gothic" w:eastAsia="MS Gothic" w:hAnsi="Century Gothic" w:cs="Arial"/>
          <w:lang w:eastAsia="de-DE"/>
        </w:rPr>
        <w:t xml:space="preserve"> geblieben </w:t>
      </w:r>
      <w:sdt>
        <w:sdtPr>
          <w:rPr>
            <w:rFonts w:ascii="Century Gothic" w:eastAsia="MS Gothic" w:hAnsi="Century Gothic" w:cs="Arial"/>
            <w:lang w:eastAsia="de-DE"/>
          </w:rPr>
          <w:id w:val="-123623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Verschlechtert </w:t>
      </w:r>
      <w:sdt>
        <w:sdtPr>
          <w:rPr>
            <w:rFonts w:ascii="Century Gothic" w:eastAsia="MS Gothic" w:hAnsi="Century Gothic" w:cs="Arial"/>
            <w:lang w:eastAsia="de-DE"/>
          </w:rPr>
          <w:id w:val="-161851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</w:r>
      <w:r w:rsidRPr="00884388">
        <w:rPr>
          <w:rFonts w:ascii="Century Gothic" w:eastAsia="MS Gothic" w:hAnsi="Century Gothic" w:cs="Arial"/>
          <w:lang w:eastAsia="de-DE"/>
        </w:rPr>
        <w:tab/>
        <w:t xml:space="preserve">Neu aufgetreten </w:t>
      </w:r>
      <w:sdt>
        <w:sdtPr>
          <w:rPr>
            <w:rFonts w:ascii="Century Gothic" w:eastAsia="MS Gothic" w:hAnsi="Century Gothic" w:cs="Arial"/>
            <w:lang w:eastAsia="de-DE"/>
          </w:rPr>
          <w:id w:val="-153340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388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</w:p>
    <w:p w14:paraId="720F430C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MS Gothic" w:hAnsi="Century Gothic" w:cs="Arial"/>
          <w:b/>
          <w:lang w:eastAsia="de-DE"/>
        </w:rPr>
      </w:pPr>
      <w:r w:rsidRPr="00884388">
        <w:rPr>
          <w:rFonts w:ascii="Century Gothic" w:eastAsia="MS Gothic" w:hAnsi="Century Gothic" w:cs="Arial"/>
          <w:b/>
          <w:lang w:eastAsia="de-DE"/>
        </w:rPr>
        <w:t>Wohnverhältnis bei Betreuungsende? Art:</w:t>
      </w:r>
    </w:p>
    <w:p w14:paraId="4E8C08D0" w14:textId="77777777" w:rsidR="00884388" w:rsidRPr="00884388" w:rsidRDefault="00884388" w:rsidP="00884388">
      <w:pPr>
        <w:spacing w:before="100" w:beforeAutospacing="1" w:after="100" w:afterAutospacing="1"/>
        <w:jc w:val="both"/>
        <w:rPr>
          <w:rFonts w:ascii="Century Gothic" w:eastAsia="MS Gothic" w:hAnsi="Century Gothic" w:cs="Arial"/>
          <w:b/>
          <w:lang w:eastAsia="de-DE"/>
        </w:rPr>
      </w:pPr>
      <w:r w:rsidRPr="00884388">
        <w:rPr>
          <w:rFonts w:ascii="Century Gothic" w:eastAsia="MS Gothic" w:hAnsi="Century Gothic" w:cs="Arial"/>
          <w:b/>
          <w:lang w:eastAsia="de-DE"/>
        </w:rPr>
        <w:t>Erwerbssituation bei Betreuungsende? Art:</w:t>
      </w:r>
    </w:p>
    <w:p w14:paraId="6D3AEB4D" w14:textId="77777777" w:rsidR="00E876C6" w:rsidRDefault="00E876C6"/>
    <w:sectPr w:rsidR="00E876C6" w:rsidSect="00D63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B062" w14:textId="77777777" w:rsidR="0062017B" w:rsidRDefault="0062017B">
      <w:pPr>
        <w:spacing w:after="0" w:line="240" w:lineRule="auto"/>
      </w:pPr>
      <w:r>
        <w:separator/>
      </w:r>
    </w:p>
  </w:endnote>
  <w:endnote w:type="continuationSeparator" w:id="0">
    <w:p w14:paraId="0C9E0BD3" w14:textId="77777777" w:rsidR="0062017B" w:rsidRDefault="0062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0851" w14:textId="77777777" w:rsidR="00597674" w:rsidRDefault="005976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DDC3" w14:textId="7360E827" w:rsidR="00C6307F" w:rsidRPr="00143EFD" w:rsidRDefault="00AC5EF2">
    <w:pPr>
      <w:pStyle w:val="Fuzeile"/>
      <w:rPr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5627"/>
      <w:gridCol w:w="3659"/>
    </w:tblGrid>
    <w:tr w:rsidR="00597674" w:rsidRPr="00AC5EF2" w14:paraId="5A26F5A2" w14:textId="77777777" w:rsidTr="00597674">
      <w:tc>
        <w:tcPr>
          <w:tcW w:w="5628" w:type="dxa"/>
          <w:hideMark/>
        </w:tcPr>
        <w:p w14:paraId="2A16D18C" w14:textId="281BAD77" w:rsidR="00597674" w:rsidRPr="00AC5EF2" w:rsidRDefault="00597674" w:rsidP="0059767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III.3.1.6-01 FB-Angaben bei Abschluss</w:t>
          </w:r>
        </w:p>
        <w:p w14:paraId="4871C18C" w14:textId="58556A3E" w:rsidR="00597674" w:rsidRPr="00AC5EF2" w:rsidRDefault="00597674" w:rsidP="0059767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Version 1.0 / 28.04.2023</w:t>
          </w:r>
        </w:p>
      </w:tc>
      <w:tc>
        <w:tcPr>
          <w:tcW w:w="3660" w:type="dxa"/>
        </w:tcPr>
        <w:p w14:paraId="4F1B01F5" w14:textId="77777777" w:rsidR="00597674" w:rsidRPr="00AC5EF2" w:rsidRDefault="00597674" w:rsidP="0059767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</w:p>
      </w:tc>
    </w:tr>
    <w:tr w:rsidR="00597674" w:rsidRPr="00AC5EF2" w14:paraId="02C935E9" w14:textId="77777777" w:rsidTr="00597674">
      <w:tc>
        <w:tcPr>
          <w:tcW w:w="5628" w:type="dxa"/>
          <w:hideMark/>
        </w:tcPr>
        <w:p w14:paraId="23AA3BB1" w14:textId="77777777" w:rsidR="00597674" w:rsidRPr="00AC5EF2" w:rsidRDefault="00597674" w:rsidP="0059767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Archivierung:  ja</w:t>
          </w:r>
        </w:p>
      </w:tc>
      <w:tc>
        <w:tcPr>
          <w:tcW w:w="3660" w:type="dxa"/>
          <w:vAlign w:val="bottom"/>
          <w:hideMark/>
        </w:tcPr>
        <w:p w14:paraId="54C0C818" w14:textId="77777777" w:rsidR="00597674" w:rsidRPr="00AC5EF2" w:rsidRDefault="00597674" w:rsidP="0059767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</w:pP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Seite </w:t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begin"/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instrText xml:space="preserve"> PAGE </w:instrText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separate"/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1</w:t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end"/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 xml:space="preserve"> von </w:t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begin"/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instrText xml:space="preserve"> NUMPAGES </w:instrText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separate"/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t>1</w:t>
          </w:r>
          <w:r w:rsidRPr="00AC5EF2">
            <w:rPr>
              <w:rFonts w:ascii="Century Gothic" w:eastAsia="Times New Roman" w:hAnsi="Century Gothic" w:cs="Times New Roman"/>
              <w:sz w:val="18"/>
              <w:szCs w:val="18"/>
              <w:lang w:eastAsia="de-DE"/>
            </w:rPr>
            <w:fldChar w:fldCharType="end"/>
          </w:r>
        </w:p>
      </w:tc>
    </w:tr>
  </w:tbl>
  <w:p w14:paraId="7C25E26A" w14:textId="77777777" w:rsidR="00597674" w:rsidRPr="00AC5EF2" w:rsidRDefault="00597674" w:rsidP="00597674">
    <w:pPr>
      <w:tabs>
        <w:tab w:val="center" w:pos="4536"/>
        <w:tab w:val="right" w:pos="9072"/>
      </w:tabs>
      <w:spacing w:after="0" w:line="240" w:lineRule="auto"/>
      <w:rPr>
        <w:rFonts w:ascii="Century Gothic" w:eastAsia="Times New Roman" w:hAnsi="Century Gothic" w:cs="Times New Roman"/>
        <w:sz w:val="18"/>
        <w:szCs w:val="18"/>
        <w:lang w:eastAsia="de-DE"/>
      </w:rPr>
    </w:pPr>
  </w:p>
  <w:p w14:paraId="4D0152FD" w14:textId="18CE2437" w:rsidR="00143EFD" w:rsidRPr="00143EFD" w:rsidRDefault="00143EFD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F99D" w14:textId="77777777" w:rsidR="00597674" w:rsidRDefault="005976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DDB7" w14:textId="77777777" w:rsidR="0062017B" w:rsidRDefault="0062017B">
      <w:pPr>
        <w:spacing w:after="0" w:line="240" w:lineRule="auto"/>
      </w:pPr>
      <w:r>
        <w:separator/>
      </w:r>
    </w:p>
  </w:footnote>
  <w:footnote w:type="continuationSeparator" w:id="0">
    <w:p w14:paraId="255E50AD" w14:textId="77777777" w:rsidR="0062017B" w:rsidRDefault="0062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3A09" w14:textId="77777777" w:rsidR="00597674" w:rsidRDefault="005976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6481" w14:textId="77777777" w:rsidR="000916E9" w:rsidRDefault="00D73FD5">
    <w:pPr>
      <w:pStyle w:val="Kopfzeile"/>
    </w:pPr>
    <w:r>
      <w:tab/>
      <w:t xml:space="preserve">                                                                                                                                                </w:t>
    </w:r>
    <w:r w:rsidR="00884388" w:rsidRPr="007102C3">
      <w:rPr>
        <w:rFonts w:eastAsia="Calibri" w:cs="Century Gothic"/>
        <w:noProof/>
        <w:color w:val="5E5D5D"/>
        <w:sz w:val="20"/>
        <w:szCs w:val="20"/>
        <w:lang w:eastAsia="de-DE"/>
      </w:rPr>
      <w:drawing>
        <wp:inline distT="0" distB="0" distL="0" distR="0" wp14:anchorId="20A99E7B" wp14:editId="263192F3">
          <wp:extent cx="466725" cy="400050"/>
          <wp:effectExtent l="0" t="0" r="9525" b="0"/>
          <wp:docPr id="2" name="Grafik 2" descr="http://upload.wikimedia.org/wikipedia/de/thumb/a/a3/Awo-logo-08.svg/700px-Awo-logo-08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ttp://upload.wikimedia.org/wikipedia/de/thumb/a/a3/Awo-logo-08.svg/700px-Awo-logo-08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B7E82" w14:textId="77777777" w:rsidR="000916E9" w:rsidRPr="000916E9" w:rsidRDefault="00884388">
    <w:pPr>
      <w:pStyle w:val="Kopfzeile"/>
      <w:rPr>
        <w:b/>
      </w:rPr>
    </w:pPr>
    <w:r>
      <w:tab/>
    </w:r>
    <w:r>
      <w:tab/>
      <w:t xml:space="preserve">       </w:t>
    </w:r>
    <w:r>
      <w:rPr>
        <w:b/>
      </w:rPr>
      <w:t>Unterbezirk Ruhr-Mitte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1C9D" w14:textId="77777777" w:rsidR="00597674" w:rsidRDefault="005976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78C"/>
    <w:rsid w:val="00143EFD"/>
    <w:rsid w:val="00305615"/>
    <w:rsid w:val="00597674"/>
    <w:rsid w:val="0062017B"/>
    <w:rsid w:val="0078678C"/>
    <w:rsid w:val="00884388"/>
    <w:rsid w:val="00AC5EF2"/>
    <w:rsid w:val="00D73FD5"/>
    <w:rsid w:val="00E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A52"/>
  <w15:chartTrackingRefBased/>
  <w15:docId w15:val="{9EC6A9ED-EACB-4A78-B7B9-2FE22829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4388"/>
  </w:style>
  <w:style w:type="paragraph" w:styleId="Fuzeile">
    <w:name w:val="footer"/>
    <w:basedOn w:val="Standard"/>
    <w:link w:val="FuzeileZchn"/>
    <w:uiPriority w:val="99"/>
    <w:unhideWhenUsed/>
    <w:rsid w:val="0088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Falkenstein, Sara Isabell</dc:creator>
  <cp:keywords/>
  <dc:description/>
  <cp:lastModifiedBy>Schaefers, Daniela</cp:lastModifiedBy>
  <cp:revision>6</cp:revision>
  <dcterms:created xsi:type="dcterms:W3CDTF">2023-01-31T11:05:00Z</dcterms:created>
  <dcterms:modified xsi:type="dcterms:W3CDTF">2023-06-08T12:43:00Z</dcterms:modified>
</cp:coreProperties>
</file>